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62" w:rsidRPr="00ED6E04" w:rsidRDefault="00577E62">
      <w:pPr>
        <w:rPr>
          <w:color w:val="000000" w:themeColor="text1"/>
          <w:sz w:val="40"/>
          <w:szCs w:val="40"/>
          <w:lang w:val="es-ES"/>
        </w:rPr>
      </w:pPr>
      <w:r w:rsidRPr="00ED6E04">
        <w:rPr>
          <w:color w:val="000000" w:themeColor="text1"/>
          <w:sz w:val="40"/>
          <w:szCs w:val="40"/>
          <w:lang w:val="es-ES"/>
        </w:rPr>
        <w:t xml:space="preserve">Instituto Nacional de </w:t>
      </w:r>
      <w:proofErr w:type="spellStart"/>
      <w:r w:rsidRPr="00ED6E04">
        <w:rPr>
          <w:color w:val="000000" w:themeColor="text1"/>
          <w:sz w:val="40"/>
          <w:szCs w:val="40"/>
          <w:lang w:val="es-ES"/>
        </w:rPr>
        <w:t>Educacion</w:t>
      </w:r>
      <w:proofErr w:type="spellEnd"/>
      <w:r w:rsidRPr="00ED6E04">
        <w:rPr>
          <w:color w:val="000000" w:themeColor="text1"/>
          <w:sz w:val="40"/>
          <w:szCs w:val="40"/>
          <w:lang w:val="es-ES"/>
        </w:rPr>
        <w:t xml:space="preserve"> </w:t>
      </w:r>
      <w:proofErr w:type="spellStart"/>
      <w:r w:rsidRPr="00ED6E04">
        <w:rPr>
          <w:color w:val="000000" w:themeColor="text1"/>
          <w:sz w:val="40"/>
          <w:szCs w:val="40"/>
          <w:lang w:val="es-ES"/>
        </w:rPr>
        <w:t>Divercificada</w:t>
      </w:r>
      <w:proofErr w:type="spellEnd"/>
    </w:p>
    <w:p w:rsidR="00577E62" w:rsidRPr="00ED6E04" w:rsidRDefault="00577E62">
      <w:pPr>
        <w:rPr>
          <w:color w:val="000000" w:themeColor="text1"/>
          <w:sz w:val="48"/>
          <w:szCs w:val="48"/>
          <w:lang w:val="es-ES"/>
        </w:rPr>
      </w:pPr>
    </w:p>
    <w:p w:rsidR="00577E62" w:rsidRPr="00ED6E04" w:rsidRDefault="00577E62">
      <w:pPr>
        <w:rPr>
          <w:color w:val="000000" w:themeColor="text1"/>
          <w:sz w:val="48"/>
          <w:szCs w:val="48"/>
          <w:lang w:val="es-ES"/>
        </w:rPr>
      </w:pPr>
      <w:r w:rsidRPr="00ED6E04">
        <w:rPr>
          <w:color w:val="000000" w:themeColor="text1"/>
          <w:sz w:val="48"/>
          <w:szCs w:val="48"/>
          <w:lang w:val="es-ES"/>
        </w:rPr>
        <w:t xml:space="preserve">NOMBRE: </w:t>
      </w:r>
      <w:proofErr w:type="spellStart"/>
      <w:r w:rsidRPr="00ED6E04">
        <w:rPr>
          <w:color w:val="000000" w:themeColor="text1"/>
          <w:sz w:val="48"/>
          <w:szCs w:val="48"/>
          <w:lang w:val="es-ES"/>
        </w:rPr>
        <w:t>Angel</w:t>
      </w:r>
      <w:proofErr w:type="spellEnd"/>
      <w:r w:rsidRPr="00ED6E04">
        <w:rPr>
          <w:color w:val="000000" w:themeColor="text1"/>
          <w:sz w:val="48"/>
          <w:szCs w:val="48"/>
          <w:lang w:val="es-ES"/>
        </w:rPr>
        <w:t xml:space="preserve"> Gabriel Fajardo </w:t>
      </w:r>
      <w:proofErr w:type="spellStart"/>
      <w:r w:rsidRPr="00ED6E04">
        <w:rPr>
          <w:color w:val="000000" w:themeColor="text1"/>
          <w:sz w:val="48"/>
          <w:szCs w:val="48"/>
          <w:lang w:val="es-ES"/>
        </w:rPr>
        <w:t>Garcia</w:t>
      </w:r>
      <w:proofErr w:type="spellEnd"/>
    </w:p>
    <w:p w:rsidR="00577E62" w:rsidRPr="00ED6E04" w:rsidRDefault="00577E62">
      <w:pPr>
        <w:rPr>
          <w:color w:val="000000" w:themeColor="text1"/>
          <w:sz w:val="48"/>
          <w:szCs w:val="48"/>
          <w:lang w:val="es-ES"/>
        </w:rPr>
      </w:pPr>
    </w:p>
    <w:p w:rsidR="00577E62" w:rsidRPr="00ED6E04" w:rsidRDefault="00577E62">
      <w:pPr>
        <w:rPr>
          <w:color w:val="000000" w:themeColor="text1"/>
          <w:sz w:val="48"/>
          <w:szCs w:val="48"/>
          <w:lang w:val="es-ES"/>
        </w:rPr>
      </w:pPr>
      <w:r w:rsidRPr="00ED6E04">
        <w:rPr>
          <w:color w:val="000000" w:themeColor="text1"/>
          <w:sz w:val="48"/>
          <w:szCs w:val="48"/>
          <w:lang w:val="es-ES"/>
        </w:rPr>
        <w:t>MAESTRO: Gustavo Blanco</w:t>
      </w:r>
    </w:p>
    <w:p w:rsidR="00577E62" w:rsidRPr="00ED6E04" w:rsidRDefault="00577E62">
      <w:pPr>
        <w:rPr>
          <w:color w:val="000000" w:themeColor="text1"/>
          <w:sz w:val="48"/>
          <w:szCs w:val="48"/>
          <w:lang w:val="es-ES"/>
        </w:rPr>
      </w:pPr>
    </w:p>
    <w:p w:rsidR="00577E62" w:rsidRPr="00ED6E04" w:rsidRDefault="00577E62">
      <w:pPr>
        <w:rPr>
          <w:color w:val="000000" w:themeColor="text1"/>
          <w:sz w:val="48"/>
          <w:szCs w:val="48"/>
          <w:lang w:val="es-ES"/>
        </w:rPr>
      </w:pPr>
      <w:r w:rsidRPr="00ED6E04">
        <w:rPr>
          <w:color w:val="000000" w:themeColor="text1"/>
          <w:sz w:val="48"/>
          <w:szCs w:val="48"/>
          <w:lang w:val="es-ES"/>
        </w:rPr>
        <w:t xml:space="preserve">GRADO: 4.to </w:t>
      </w:r>
      <w:proofErr w:type="spellStart"/>
      <w:r w:rsidRPr="00ED6E04">
        <w:rPr>
          <w:color w:val="000000" w:themeColor="text1"/>
          <w:sz w:val="48"/>
          <w:szCs w:val="48"/>
          <w:lang w:val="es-ES"/>
        </w:rPr>
        <w:t>mecanica</w:t>
      </w:r>
      <w:proofErr w:type="spellEnd"/>
    </w:p>
    <w:p w:rsidR="00577E62" w:rsidRPr="00ED6E04" w:rsidRDefault="00577E62">
      <w:pPr>
        <w:rPr>
          <w:color w:val="000000" w:themeColor="text1"/>
          <w:sz w:val="48"/>
          <w:szCs w:val="48"/>
          <w:lang w:val="es-ES"/>
        </w:rPr>
      </w:pPr>
    </w:p>
    <w:p w:rsidR="00577E62" w:rsidRPr="00ED6E04" w:rsidRDefault="00577E62">
      <w:pPr>
        <w:rPr>
          <w:color w:val="000000" w:themeColor="text1"/>
          <w:sz w:val="48"/>
          <w:szCs w:val="48"/>
          <w:lang w:val="es-ES"/>
        </w:rPr>
      </w:pPr>
      <w:r w:rsidRPr="00ED6E04">
        <w:rPr>
          <w:color w:val="000000" w:themeColor="text1"/>
          <w:sz w:val="48"/>
          <w:szCs w:val="48"/>
          <w:lang w:val="es-ES"/>
        </w:rPr>
        <w:t xml:space="preserve">CLASE: </w:t>
      </w:r>
      <w:proofErr w:type="spellStart"/>
      <w:r w:rsidRPr="00ED6E04">
        <w:rPr>
          <w:color w:val="000000" w:themeColor="text1"/>
          <w:sz w:val="48"/>
          <w:szCs w:val="48"/>
          <w:lang w:val="es-ES"/>
        </w:rPr>
        <w:t>Computacion</w:t>
      </w:r>
      <w:proofErr w:type="spellEnd"/>
    </w:p>
    <w:p w:rsidR="00577E62" w:rsidRPr="00ED6E04" w:rsidRDefault="00577E62">
      <w:pPr>
        <w:rPr>
          <w:color w:val="000000" w:themeColor="text1"/>
          <w:sz w:val="48"/>
          <w:szCs w:val="48"/>
          <w:lang w:val="es-ES"/>
        </w:rPr>
      </w:pPr>
    </w:p>
    <w:p w:rsidR="00577E62" w:rsidRPr="00ED6E04" w:rsidRDefault="00577E62">
      <w:pPr>
        <w:rPr>
          <w:color w:val="000000" w:themeColor="text1"/>
          <w:sz w:val="48"/>
          <w:szCs w:val="48"/>
          <w:lang w:val="es-ES"/>
        </w:rPr>
      </w:pPr>
      <w:r w:rsidRPr="00ED6E04">
        <w:rPr>
          <w:color w:val="000000" w:themeColor="text1"/>
          <w:sz w:val="48"/>
          <w:szCs w:val="48"/>
          <w:lang w:val="es-ES"/>
        </w:rPr>
        <w:t>EJERCICIO: examen</w:t>
      </w:r>
    </w:p>
    <w:p w:rsidR="00577E62" w:rsidRPr="00ED6E04" w:rsidRDefault="00577E62">
      <w:pPr>
        <w:rPr>
          <w:color w:val="000000" w:themeColor="text1"/>
          <w:sz w:val="48"/>
          <w:szCs w:val="48"/>
          <w:lang w:val="es-ES"/>
        </w:rPr>
      </w:pPr>
    </w:p>
    <w:p w:rsidR="00FC7CCD" w:rsidRPr="00ED6E04" w:rsidRDefault="00577E62">
      <w:pPr>
        <w:rPr>
          <w:color w:val="000000" w:themeColor="text1"/>
          <w:sz w:val="48"/>
          <w:szCs w:val="48"/>
          <w:lang w:val="es-ES"/>
        </w:rPr>
      </w:pPr>
      <w:r w:rsidRPr="00ED6E04">
        <w:rPr>
          <w:color w:val="000000" w:themeColor="text1"/>
          <w:sz w:val="48"/>
          <w:szCs w:val="48"/>
          <w:lang w:val="es-ES"/>
        </w:rPr>
        <w:t>FECHA: 7/7/2025</w:t>
      </w:r>
    </w:p>
    <w:p w:rsidR="00FC7CCD" w:rsidRPr="00ED6E04" w:rsidRDefault="00FC7CCD">
      <w:pPr>
        <w:rPr>
          <w:color w:val="000000" w:themeColor="text1"/>
          <w:sz w:val="48"/>
          <w:szCs w:val="48"/>
          <w:lang w:val="es-ES"/>
        </w:rPr>
      </w:pPr>
      <w:r w:rsidRPr="00ED6E04">
        <w:rPr>
          <w:color w:val="000000" w:themeColor="text1"/>
          <w:sz w:val="48"/>
          <w:szCs w:val="48"/>
          <w:lang w:val="es-ES"/>
        </w:rPr>
        <w:br w:type="page"/>
      </w:r>
    </w:p>
    <w:p w:rsidR="00577E62" w:rsidRPr="00ED6E04" w:rsidRDefault="00FC7CCD" w:rsidP="00FC7CCD">
      <w:pPr>
        <w:jc w:val="center"/>
        <w:rPr>
          <w:color w:val="000000" w:themeColor="text1"/>
          <w:sz w:val="40"/>
          <w:szCs w:val="40"/>
          <w:lang w:val="es-ES"/>
        </w:rPr>
      </w:pPr>
      <w:r w:rsidRPr="00ED6E04">
        <w:rPr>
          <w:color w:val="000000" w:themeColor="text1"/>
          <w:sz w:val="40"/>
          <w:szCs w:val="40"/>
          <w:lang w:val="es-ES"/>
        </w:rPr>
        <w:lastRenderedPageBreak/>
        <w:t>Celulares</w:t>
      </w:r>
    </w:p>
    <w:p w:rsidR="00FC7CCD" w:rsidRPr="00FC7CCD" w:rsidRDefault="00FC7CCD" w:rsidP="00ED6E0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GT"/>
        </w:rPr>
      </w:pPr>
      <w:r w:rsidRPr="00FC7CCD">
        <w:rPr>
          <w:rFonts w:ascii="Times New Roman" w:eastAsia="Times New Roman" w:hAnsi="Times New Roman" w:cs="Times New Roman"/>
          <w:color w:val="000000" w:themeColor="text1"/>
          <w:sz w:val="24"/>
          <w:szCs w:val="24"/>
          <w:lang w:eastAsia="es-GT"/>
        </w:rPr>
        <w:t xml:space="preserve">transmisores y receptores móviles con </w:t>
      </w:r>
      <w:proofErr w:type="spellStart"/>
      <w:r w:rsidRPr="00FC7CCD">
        <w:rPr>
          <w:rFonts w:ascii="Times New Roman" w:eastAsia="Times New Roman" w:hAnsi="Times New Roman" w:cs="Times New Roman"/>
          <w:color w:val="000000" w:themeColor="text1"/>
          <w:sz w:val="24"/>
          <w:szCs w:val="24"/>
          <w:lang w:eastAsia="es-GT"/>
        </w:rPr>
        <w:t>el</w:t>
      </w:r>
      <w:hyperlink r:id="rId4" w:history="1">
        <w:r w:rsidRPr="00ED6E04">
          <w:rPr>
            <w:rFonts w:ascii="Times New Roman" w:eastAsia="Times New Roman" w:hAnsi="Times New Roman" w:cs="Times New Roman"/>
            <w:color w:val="000000" w:themeColor="text1"/>
            <w:sz w:val="24"/>
            <w:szCs w:val="24"/>
            <w:lang w:eastAsia="es-GT"/>
          </w:rPr>
          <w:t>La</w:t>
        </w:r>
        <w:proofErr w:type="spellEnd"/>
        <w:r w:rsidRPr="00ED6E04">
          <w:rPr>
            <w:rFonts w:ascii="Times New Roman" w:eastAsia="Times New Roman" w:hAnsi="Times New Roman" w:cs="Times New Roman"/>
            <w:color w:val="000000" w:themeColor="text1"/>
            <w:sz w:val="24"/>
            <w:szCs w:val="24"/>
            <w:lang w:eastAsia="es-GT"/>
          </w:rPr>
          <w:t xml:space="preserve"> red telefónica pública conmutada</w:t>
        </w:r>
      </w:hyperlink>
      <w:r w:rsidRPr="00FC7CCD">
        <w:rPr>
          <w:rFonts w:ascii="Times New Roman" w:eastAsia="Times New Roman" w:hAnsi="Times New Roman" w:cs="Times New Roman"/>
          <w:color w:val="000000" w:themeColor="text1"/>
          <w:sz w:val="24"/>
          <w:szCs w:val="24"/>
          <w:lang w:eastAsia="es-GT"/>
        </w:rPr>
        <w:t xml:space="preserve"> (RTPC) comenzó en 1946, con la introducción deservicio de telefonía móvil (MTS) por parte </w:t>
      </w:r>
      <w:proofErr w:type="spellStart"/>
      <w:r w:rsidRPr="00FC7CCD">
        <w:rPr>
          <w:rFonts w:ascii="Times New Roman" w:eastAsia="Times New Roman" w:hAnsi="Times New Roman" w:cs="Times New Roman"/>
          <w:color w:val="000000" w:themeColor="text1"/>
          <w:sz w:val="24"/>
          <w:szCs w:val="24"/>
          <w:lang w:eastAsia="es-GT"/>
        </w:rPr>
        <w:t>de</w:t>
      </w:r>
      <w:hyperlink r:id="rId5" w:history="1">
        <w:r w:rsidRPr="00ED6E04">
          <w:rPr>
            <w:rFonts w:ascii="Times New Roman" w:eastAsia="Times New Roman" w:hAnsi="Times New Roman" w:cs="Times New Roman"/>
            <w:color w:val="000000" w:themeColor="text1"/>
            <w:sz w:val="24"/>
            <w:szCs w:val="24"/>
            <w:lang w:eastAsia="es-GT"/>
          </w:rPr>
          <w:t>Compañía</w:t>
        </w:r>
        <w:proofErr w:type="spellEnd"/>
        <w:r w:rsidRPr="00ED6E04">
          <w:rPr>
            <w:rFonts w:ascii="Times New Roman" w:eastAsia="Times New Roman" w:hAnsi="Times New Roman" w:cs="Times New Roman"/>
            <w:color w:val="000000" w:themeColor="text1"/>
            <w:sz w:val="24"/>
            <w:szCs w:val="24"/>
            <w:lang w:eastAsia="es-GT"/>
          </w:rPr>
          <w:t xml:space="preserve"> Americana de Teléfonos y Telégrafos</w:t>
        </w:r>
      </w:hyperlink>
      <w:r w:rsidRPr="00FC7CCD">
        <w:rPr>
          <w:rFonts w:ascii="Times New Roman" w:eastAsia="Times New Roman" w:hAnsi="Times New Roman" w:cs="Times New Roman"/>
          <w:color w:val="000000" w:themeColor="text1"/>
          <w:sz w:val="24"/>
          <w:szCs w:val="24"/>
          <w:lang w:eastAsia="es-GT"/>
        </w:rPr>
        <w:t xml:space="preserve"> ( </w:t>
      </w:r>
      <w:hyperlink r:id="rId6" w:history="1">
        <w:r w:rsidRPr="00ED6E04">
          <w:rPr>
            <w:rFonts w:ascii="Times New Roman" w:eastAsia="Times New Roman" w:hAnsi="Times New Roman" w:cs="Times New Roman"/>
            <w:color w:val="000000" w:themeColor="text1"/>
            <w:sz w:val="24"/>
            <w:szCs w:val="24"/>
            <w:lang w:eastAsia="es-GT"/>
          </w:rPr>
          <w:t>AT&amp;T</w:t>
        </w:r>
      </w:hyperlink>
      <w:r w:rsidRPr="00FC7CCD">
        <w:rPr>
          <w:rFonts w:ascii="Times New Roman" w:eastAsia="Times New Roman" w:hAnsi="Times New Roman" w:cs="Times New Roman"/>
          <w:color w:val="000000" w:themeColor="text1"/>
          <w:sz w:val="24"/>
          <w:szCs w:val="24"/>
          <w:lang w:eastAsia="es-GT"/>
        </w:rPr>
        <w:t xml:space="preserve"> ). En el sistema MTS estadounidense, un usuario que deseaba realizar una llamada desde un teléfono móvil debía buscar manualmente un canal libre antes de realizarla. El usuario hablaba entonces con un operador móvil, quien marcaba la llamada a través de la RTPC. La conexión de radio era simplex, es decir, solo una persona podía hablar a la vez, y la dirección de la llamada se controlaba mediante un interruptor de pulsar para hablar en el teléfono móvil. En 1964, AT&amp;T introdujo el...Servicio mejorado de telefonía móvil (IMTS). Esto proporcionó operación full </w:t>
      </w:r>
      <w:proofErr w:type="spellStart"/>
      <w:r w:rsidRPr="00FC7CCD">
        <w:rPr>
          <w:rFonts w:ascii="Times New Roman" w:eastAsia="Times New Roman" w:hAnsi="Times New Roman" w:cs="Times New Roman"/>
          <w:color w:val="000000" w:themeColor="text1"/>
          <w:sz w:val="24"/>
          <w:szCs w:val="24"/>
          <w:lang w:eastAsia="es-GT"/>
        </w:rPr>
        <w:t>duplex</w:t>
      </w:r>
      <w:proofErr w:type="spellEnd"/>
      <w:r w:rsidRPr="00FC7CCD">
        <w:rPr>
          <w:rFonts w:ascii="Times New Roman" w:eastAsia="Times New Roman" w:hAnsi="Times New Roman" w:cs="Times New Roman"/>
          <w:color w:val="000000" w:themeColor="text1"/>
          <w:sz w:val="24"/>
          <w:szCs w:val="24"/>
          <w:lang w:eastAsia="es-GT"/>
        </w:rPr>
        <w:t xml:space="preserve">, marcación automática y búsqueda automática de canales. Inicialmente se proporcionaron 11 canales, pero en 1969 se añadieron 12 canales adicionales. Dado que solo 11 (o 12) canales estaban disponibles para todos los usuarios del sistema dentro de un área geográfica determinada (como el </w:t>
      </w:r>
      <w:hyperlink r:id="rId7" w:history="1">
        <w:r w:rsidRPr="00ED6E04">
          <w:rPr>
            <w:rFonts w:ascii="Times New Roman" w:eastAsia="Times New Roman" w:hAnsi="Times New Roman" w:cs="Times New Roman"/>
            <w:color w:val="000000" w:themeColor="text1"/>
            <w:sz w:val="24"/>
            <w:szCs w:val="24"/>
            <w:lang w:eastAsia="es-GT"/>
          </w:rPr>
          <w:t xml:space="preserve">área metropolitana alrededor de una gran ciudad), el sistema IMTS se enfrentó a una alta demanda para un recurso de canales muy limitado. Además, cada </w:t>
        </w:r>
      </w:hyperlink>
      <w:hyperlink r:id="rId8" w:history="1">
        <w:r w:rsidRPr="00ED6E04">
          <w:rPr>
            <w:rFonts w:ascii="Times New Roman" w:eastAsia="Times New Roman" w:hAnsi="Times New Roman" w:cs="Times New Roman"/>
            <w:color w:val="000000" w:themeColor="text1"/>
            <w:sz w:val="24"/>
            <w:szCs w:val="24"/>
            <w:lang w:eastAsia="es-GT"/>
          </w:rPr>
          <w:t>antena</w:t>
        </w:r>
      </w:hyperlink>
      <w:r w:rsidRPr="00FC7CCD">
        <w:rPr>
          <w:rFonts w:ascii="Times New Roman" w:eastAsia="Times New Roman" w:hAnsi="Times New Roman" w:cs="Times New Roman"/>
          <w:color w:val="000000" w:themeColor="text1"/>
          <w:sz w:val="24"/>
          <w:szCs w:val="24"/>
          <w:lang w:eastAsia="es-GT"/>
        </w:rPr>
        <w:t xml:space="preserve"> de estación base debía ubicarse en una estructura alta y transmitir a alta potencia para brindar cobertura en toda el área de servicio. Debido a estos altos requisitos de potencia, todas las unidades de abonado del sistema IMTS eran instrumentos basados ​​en vehículos motorizados que llevaban grandes baterías de almacenamiento.</w:t>
      </w:r>
    </w:p>
    <w:p w:rsidR="00FC7CCD" w:rsidRPr="00ED6E04" w:rsidRDefault="00FC7CCD" w:rsidP="00FC7CCD">
      <w:pPr>
        <w:rPr>
          <w:color w:val="000000" w:themeColor="text1"/>
          <w:sz w:val="28"/>
          <w:szCs w:val="28"/>
          <w:lang w:val="es-ES"/>
        </w:rPr>
      </w:pPr>
      <w:r w:rsidRPr="00ED6E04">
        <w:rPr>
          <w:color w:val="000000" w:themeColor="text1"/>
          <w:sz w:val="28"/>
          <w:szCs w:val="28"/>
          <w:lang w:val="es-ES"/>
        </w:rPr>
        <w:t xml:space="preserve"> </w:t>
      </w:r>
    </w:p>
    <w:p w:rsidR="00FC7CCD" w:rsidRPr="00ED6E04" w:rsidRDefault="00FC7CCD" w:rsidP="00ED6E04">
      <w:pPr>
        <w:jc w:val="center"/>
        <w:rPr>
          <w:color w:val="000000" w:themeColor="text1"/>
          <w:sz w:val="40"/>
          <w:szCs w:val="40"/>
          <w:lang w:val="es-ES"/>
        </w:rPr>
      </w:pPr>
      <w:r w:rsidRPr="00ED6E04">
        <w:rPr>
          <w:color w:val="000000" w:themeColor="text1"/>
          <w:sz w:val="40"/>
          <w:szCs w:val="40"/>
          <w:lang w:val="es-ES"/>
        </w:rPr>
        <w:t>Reloj</w:t>
      </w:r>
    </w:p>
    <w:p w:rsidR="00FC7CCD" w:rsidRPr="00ED6E04" w:rsidRDefault="00FC7CCD" w:rsidP="00ED6E04">
      <w:pPr>
        <w:pStyle w:val="NormalWeb"/>
        <w:jc w:val="both"/>
        <w:rPr>
          <w:color w:val="000000" w:themeColor="text1"/>
        </w:rPr>
      </w:pPr>
      <w:r w:rsidRPr="00ED6E04">
        <w:rPr>
          <w:color w:val="000000" w:themeColor="text1"/>
        </w:rPr>
        <w:t>Hace muchos años, antes de que existieran los relojes, el tiempo se medía por la rotación de la Tierra al observar las posiciones del sol en el cielo, las mareas y las fases de la luna. Sin embargo, los relojes se hicieron necesarios para medir las fracc</w:t>
      </w:r>
      <w:r w:rsidR="00ED6E04">
        <w:rPr>
          <w:color w:val="000000" w:themeColor="text1"/>
        </w:rPr>
        <w:t xml:space="preserve">iones del día con más </w:t>
      </w:r>
      <w:proofErr w:type="spellStart"/>
      <w:r w:rsidR="00ED6E04">
        <w:rPr>
          <w:color w:val="000000" w:themeColor="text1"/>
        </w:rPr>
        <w:t>exactitud.</w:t>
      </w:r>
      <w:r w:rsidRPr="00ED6E04">
        <w:rPr>
          <w:color w:val="000000" w:themeColor="text1"/>
        </w:rPr>
        <w:t>En</w:t>
      </w:r>
      <w:proofErr w:type="spellEnd"/>
      <w:r w:rsidRPr="00ED6E04">
        <w:rPr>
          <w:color w:val="000000" w:themeColor="text1"/>
        </w:rPr>
        <w:t xml:space="preserve"> palabras más simples, el reloj marca nuestra posición en la Tierra con respecto al lugar en que se encuentra el sol en cada momento. Así, a las doce del día, el Sol está encima de nuestras cabezas; a la una del día se encuentra un poco más hacia el lado del mar, y así avanza hacia allá cada hora que </w:t>
      </w:r>
      <w:proofErr w:type="spellStart"/>
      <w:r w:rsidRPr="00ED6E04">
        <w:rPr>
          <w:color w:val="000000" w:themeColor="text1"/>
        </w:rPr>
        <w:t>pasa.Hace</w:t>
      </w:r>
      <w:proofErr w:type="spellEnd"/>
      <w:r w:rsidRPr="00ED6E04">
        <w:rPr>
          <w:color w:val="000000" w:themeColor="text1"/>
        </w:rPr>
        <w:t xml:space="preserve"> 4000 años, en Egipto, se inventó el primer reloj y fue, el reloj de sol. Con el paso del tiempo se crearon otros como lo fueron el reloj de agua y el de arena. Así a lo largo de la historia se fueron encontrando y descubriendo nuevas formas de hacer que este invento </w:t>
      </w:r>
      <w:proofErr w:type="spellStart"/>
      <w:r w:rsidRPr="00ED6E04">
        <w:rPr>
          <w:color w:val="000000" w:themeColor="text1"/>
        </w:rPr>
        <w:t>evolucionara.Basado</w:t>
      </w:r>
      <w:proofErr w:type="spellEnd"/>
      <w:r w:rsidRPr="00ED6E04">
        <w:rPr>
          <w:color w:val="000000" w:themeColor="text1"/>
        </w:rPr>
        <w:t xml:space="preserve"> en los estudios realizados por Galileo, Christian Huygens diseñó el primer reloj de péndulo en 1656. Este reloj era el más exacto hasta ese momento, con un error de solo cinco minutos diarios. El reloj de tipo péndulo más conocido es el llamado reloj cucú. </w:t>
      </w:r>
    </w:p>
    <w:p w:rsidR="00FC7CCD" w:rsidRPr="00ED6E04" w:rsidRDefault="00FC7CCD" w:rsidP="00FC7CCD">
      <w:pPr>
        <w:rPr>
          <w:color w:val="000000" w:themeColor="text1"/>
          <w:sz w:val="28"/>
          <w:szCs w:val="28"/>
          <w:lang w:val="es-ES"/>
        </w:rPr>
      </w:pPr>
    </w:p>
    <w:p w:rsidR="00577E62" w:rsidRDefault="00577E62">
      <w:pPr>
        <w:rPr>
          <w:color w:val="000000" w:themeColor="text1"/>
          <w:sz w:val="48"/>
          <w:szCs w:val="48"/>
          <w:lang w:val="es-ES"/>
        </w:rPr>
      </w:pPr>
    </w:p>
    <w:p w:rsidR="00ED6E04" w:rsidRDefault="00ED6E04">
      <w:pPr>
        <w:rPr>
          <w:color w:val="000000" w:themeColor="text1"/>
          <w:lang w:val="es-ES"/>
        </w:rPr>
      </w:pPr>
    </w:p>
    <w:p w:rsidR="00ED6E04" w:rsidRPr="00ED6E04" w:rsidRDefault="00ED6E04" w:rsidP="00ED6E04">
      <w:pPr>
        <w:jc w:val="center"/>
        <w:rPr>
          <w:color w:val="000000" w:themeColor="text1"/>
          <w:sz w:val="40"/>
          <w:szCs w:val="40"/>
          <w:lang w:val="es-ES"/>
        </w:rPr>
      </w:pPr>
      <w:r w:rsidRPr="00ED6E04">
        <w:rPr>
          <w:color w:val="000000" w:themeColor="text1"/>
          <w:sz w:val="40"/>
          <w:szCs w:val="40"/>
          <w:lang w:val="es-ES"/>
        </w:rPr>
        <w:lastRenderedPageBreak/>
        <w:t>Motores</w:t>
      </w:r>
    </w:p>
    <w:p w:rsidR="00ED6E04" w:rsidRDefault="00ED6E04" w:rsidP="00ED6E04">
      <w:pPr>
        <w:pStyle w:val="NormalWeb"/>
        <w:jc w:val="both"/>
        <w:rPr>
          <w:color w:val="000000" w:themeColor="text1"/>
        </w:rPr>
      </w:pPr>
      <w:r w:rsidRPr="00ED6E04">
        <w:rPr>
          <w:color w:val="000000" w:themeColor="text1"/>
        </w:rPr>
        <w:t xml:space="preserve">Los orígenes de los </w:t>
      </w:r>
      <w:hyperlink r:id="rId9" w:tooltip="Motores" w:history="1">
        <w:r w:rsidRPr="00ED6E04">
          <w:rPr>
            <w:rStyle w:val="Hipervnculo"/>
            <w:color w:val="000000" w:themeColor="text1"/>
            <w:u w:val="none"/>
          </w:rPr>
          <w:t>motores</w:t>
        </w:r>
      </w:hyperlink>
      <w:r w:rsidRPr="00ED6E04">
        <w:rPr>
          <w:color w:val="000000" w:themeColor="text1"/>
        </w:rPr>
        <w:t xml:space="preserve"> son muy remotos. Especialmente si se consideran los inicios o precedentes de algunos elementos constitutivos de los motores, imprescindibles para su funcionamiento como tales. Considerados como máquinas completas y funcionales, y productoras de </w:t>
      </w:r>
      <w:hyperlink r:id="rId10" w:tooltip="Energía mecánica" w:history="1">
        <w:r w:rsidRPr="00ED6E04">
          <w:rPr>
            <w:rStyle w:val="Hipervnculo"/>
            <w:color w:val="000000" w:themeColor="text1"/>
            <w:u w:val="none"/>
          </w:rPr>
          <w:t>energía mecánica</w:t>
        </w:r>
      </w:hyperlink>
      <w:r w:rsidRPr="00ED6E04">
        <w:rPr>
          <w:color w:val="000000" w:themeColor="text1"/>
        </w:rPr>
        <w:t>, hay algunos ejemplos de motores antes del siglo </w:t>
      </w:r>
      <w:r w:rsidRPr="00ED6E04">
        <w:rPr>
          <w:smallCaps/>
          <w:color w:val="000000" w:themeColor="text1"/>
        </w:rPr>
        <w:t>XIX</w:t>
      </w:r>
      <w:r w:rsidRPr="00ED6E04">
        <w:rPr>
          <w:color w:val="000000" w:themeColor="text1"/>
        </w:rPr>
        <w:t xml:space="preserve">. A partir de la producción comercial de </w:t>
      </w:r>
      <w:hyperlink r:id="rId11" w:tooltip="Petróleo" w:history="1">
        <w:r w:rsidRPr="00ED6E04">
          <w:rPr>
            <w:rStyle w:val="Hipervnculo"/>
            <w:color w:val="000000" w:themeColor="text1"/>
            <w:u w:val="none"/>
          </w:rPr>
          <w:t>petróleo</w:t>
        </w:r>
      </w:hyperlink>
      <w:r w:rsidRPr="00ED6E04">
        <w:rPr>
          <w:color w:val="000000" w:themeColor="text1"/>
        </w:rPr>
        <w:t xml:space="preserve"> a mediados del siglo </w:t>
      </w:r>
      <w:r w:rsidRPr="00ED6E04">
        <w:rPr>
          <w:smallCaps/>
          <w:color w:val="000000" w:themeColor="text1"/>
        </w:rPr>
        <w:t>XIX</w:t>
      </w:r>
      <w:r w:rsidRPr="00ED6E04">
        <w:rPr>
          <w:color w:val="000000" w:themeColor="text1"/>
        </w:rPr>
        <w:t xml:space="preserve"> (1850) las mejoras e innovaciones fueron muy importantes. A finales de ese siglo había una multitud de variedades de motores usados en todo tipo de aplicaciones. En la actualidad los motores de combustión interna, a pesar de los problemas asociados (</w:t>
      </w:r>
      <w:hyperlink r:id="rId12" w:tooltip="Crisis del petróleo de 1973" w:history="1">
        <w:r w:rsidRPr="00ED6E04">
          <w:rPr>
            <w:rStyle w:val="Hipervnculo"/>
            <w:color w:val="000000" w:themeColor="text1"/>
            <w:u w:val="none"/>
          </w:rPr>
          <w:t>crisis energéticas</w:t>
        </w:r>
      </w:hyperlink>
      <w:r w:rsidRPr="00ED6E04">
        <w:rPr>
          <w:color w:val="000000" w:themeColor="text1"/>
        </w:rPr>
        <w:t xml:space="preserve">, </w:t>
      </w:r>
      <w:hyperlink r:id="rId13" w:tooltip="Petróleo" w:history="1">
        <w:r w:rsidRPr="00ED6E04">
          <w:rPr>
            <w:rStyle w:val="Hipervnculo"/>
            <w:color w:val="000000" w:themeColor="text1"/>
            <w:u w:val="none"/>
          </w:rPr>
          <w:t>dependencia del petróleo</w:t>
        </w:r>
      </w:hyperlink>
      <w:r w:rsidRPr="00ED6E04">
        <w:rPr>
          <w:color w:val="000000" w:themeColor="text1"/>
        </w:rPr>
        <w:t xml:space="preserve">, </w:t>
      </w:r>
      <w:hyperlink r:id="rId14" w:tooltip="Contaminación atmosférica" w:history="1">
        <w:r w:rsidRPr="00ED6E04">
          <w:rPr>
            <w:rStyle w:val="Hipervnculo"/>
            <w:color w:val="000000" w:themeColor="text1"/>
            <w:u w:val="none"/>
          </w:rPr>
          <w:t>contaminación del aire</w:t>
        </w:r>
      </w:hyperlink>
      <w:r w:rsidRPr="00ED6E04">
        <w:rPr>
          <w:color w:val="000000" w:themeColor="text1"/>
        </w:rPr>
        <w:t xml:space="preserve">, </w:t>
      </w:r>
      <w:hyperlink r:id="rId15" w:tooltip="Efecto invernadero" w:history="1">
        <w:r w:rsidRPr="00ED6E04">
          <w:rPr>
            <w:rStyle w:val="Hipervnculo"/>
            <w:color w:val="000000" w:themeColor="text1"/>
            <w:u w:val="none"/>
          </w:rPr>
          <w:t>aumento de los niveles de CO2</w:t>
        </w:r>
      </w:hyperlink>
      <w:r w:rsidRPr="00ED6E04">
        <w:rPr>
          <w:color w:val="000000" w:themeColor="text1"/>
        </w:rPr>
        <w:t xml:space="preserve">,...) son todavía imprescindibles y se fabrican según diseños muy diferentes y una gama muy amplia de </w:t>
      </w:r>
      <w:hyperlink r:id="rId16" w:tooltip="Potencia eléctrica" w:history="1">
        <w:r w:rsidRPr="00ED6E04">
          <w:rPr>
            <w:rStyle w:val="Hipervnculo"/>
            <w:color w:val="000000" w:themeColor="text1"/>
            <w:u w:val="none"/>
          </w:rPr>
          <w:t>potencias</w:t>
        </w:r>
      </w:hyperlink>
      <w:r w:rsidRPr="00ED6E04">
        <w:rPr>
          <w:color w:val="000000" w:themeColor="text1"/>
        </w:rPr>
        <w:t xml:space="preserve"> que va desde pocos vatios hasta miles de kW. </w:t>
      </w:r>
    </w:p>
    <w:p w:rsidR="00ED6E04" w:rsidRPr="00ED6E04" w:rsidRDefault="00ED6E04" w:rsidP="00ED6E04">
      <w:pPr>
        <w:pStyle w:val="NormalWeb"/>
        <w:jc w:val="both"/>
        <w:rPr>
          <w:color w:val="000000" w:themeColor="text1"/>
        </w:rPr>
      </w:pPr>
      <w:bookmarkStart w:id="0" w:name="_GoBack"/>
      <w:bookmarkEnd w:id="0"/>
    </w:p>
    <w:p w:rsidR="00ED6E04" w:rsidRPr="00ED6E04" w:rsidRDefault="00ED6E04">
      <w:pPr>
        <w:rPr>
          <w:color w:val="000000" w:themeColor="text1"/>
          <w:lang w:val="es-ES"/>
        </w:rPr>
      </w:pPr>
    </w:p>
    <w:sectPr w:rsidR="00ED6E04" w:rsidRPr="00ED6E04" w:rsidSect="00FC7CCD">
      <w:pgSz w:w="12240" w:h="15840"/>
      <w:pgMar w:top="1417" w:right="1701" w:bottom="1417" w:left="1701" w:header="708" w:footer="708"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62"/>
    <w:rsid w:val="00577E62"/>
    <w:rsid w:val="006A1208"/>
    <w:rsid w:val="00ED6E04"/>
    <w:rsid w:val="00FC7CC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9C1D5-0460-4B75-99A3-48C9C585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pic-paragraph">
    <w:name w:val="topic-paragraph"/>
    <w:basedOn w:val="Normal"/>
    <w:rsid w:val="00FC7CC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FC7CCD"/>
    <w:rPr>
      <w:color w:val="0000FF"/>
      <w:u w:val="single"/>
    </w:rPr>
  </w:style>
  <w:style w:type="paragraph" w:styleId="NormalWeb">
    <w:name w:val="Normal (Web)"/>
    <w:basedOn w:val="Normal"/>
    <w:uiPriority w:val="99"/>
    <w:semiHidden/>
    <w:unhideWhenUsed/>
    <w:rsid w:val="00FC7CCD"/>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66011">
      <w:bodyDiv w:val="1"/>
      <w:marLeft w:val="0"/>
      <w:marRight w:val="0"/>
      <w:marTop w:val="0"/>
      <w:marBottom w:val="0"/>
      <w:divBdr>
        <w:top w:val="none" w:sz="0" w:space="0" w:color="auto"/>
        <w:left w:val="none" w:sz="0" w:space="0" w:color="auto"/>
        <w:bottom w:val="none" w:sz="0" w:space="0" w:color="auto"/>
        <w:right w:val="none" w:sz="0" w:space="0" w:color="auto"/>
      </w:divBdr>
    </w:div>
    <w:div w:id="1014459682">
      <w:bodyDiv w:val="1"/>
      <w:marLeft w:val="0"/>
      <w:marRight w:val="0"/>
      <w:marTop w:val="0"/>
      <w:marBottom w:val="0"/>
      <w:divBdr>
        <w:top w:val="none" w:sz="0" w:space="0" w:color="auto"/>
        <w:left w:val="none" w:sz="0" w:space="0" w:color="auto"/>
        <w:bottom w:val="none" w:sz="0" w:space="0" w:color="auto"/>
        <w:right w:val="none" w:sz="0" w:space="0" w:color="auto"/>
      </w:divBdr>
    </w:div>
    <w:div w:id="12441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ranslate.goog/technology/antenna-electronics?_x_tr_sl=en&amp;_x_tr_tl=es&amp;_x_tr_hl=es&amp;_x_tr_pto=tc" TargetMode="External"/><Relationship Id="rId13" Type="http://schemas.openxmlformats.org/officeDocument/2006/relationships/hyperlink" Target="https://es.wikipedia.org/wiki/Petr%C3%B3le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annica-com.translate.goog/topic/metropolitan-area?_x_tr_sl=en&amp;_x_tr_tl=es&amp;_x_tr_hl=es&amp;_x_tr_pto=tc" TargetMode="External"/><Relationship Id="rId12" Type="http://schemas.openxmlformats.org/officeDocument/2006/relationships/hyperlink" Target="https://es.wikipedia.org/wiki/Crisis_del_petr%C3%B3leo_de_197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Potencia_el%C3%A9ctrica" TargetMode="External"/><Relationship Id="rId1" Type="http://schemas.openxmlformats.org/officeDocument/2006/relationships/styles" Target="styles.xml"/><Relationship Id="rId6" Type="http://schemas.openxmlformats.org/officeDocument/2006/relationships/hyperlink" Target="https://www-britannica-com.translate.goog/money/ATandT-Corporation?_x_tr_sl=en&amp;_x_tr_tl=es&amp;_x_tr_hl=es&amp;_x_tr_pto=tc" TargetMode="External"/><Relationship Id="rId11" Type="http://schemas.openxmlformats.org/officeDocument/2006/relationships/hyperlink" Target="https://es.wikipedia.org/wiki/Petr%C3%B3leo" TargetMode="External"/><Relationship Id="rId5" Type="http://schemas.openxmlformats.org/officeDocument/2006/relationships/hyperlink" Target="https://www-britannica-com.translate.goog/money/ATandT-Corporation?_x_tr_sl=en&amp;_x_tr_tl=es&amp;_x_tr_hl=es&amp;_x_tr_pto=tc" TargetMode="External"/><Relationship Id="rId15" Type="http://schemas.openxmlformats.org/officeDocument/2006/relationships/hyperlink" Target="https://es.wikipedia.org/wiki/Efecto_invernadero" TargetMode="External"/><Relationship Id="rId10" Type="http://schemas.openxmlformats.org/officeDocument/2006/relationships/hyperlink" Target="https://es.wikipedia.org/wiki/Energ%C3%ADa_mec%C3%A1nica" TargetMode="External"/><Relationship Id="rId4" Type="http://schemas.openxmlformats.org/officeDocument/2006/relationships/hyperlink" Target="https://www-britannica-com.translate.goog/technology/public-switched-telephone-network?_x_tr_sl=en&amp;_x_tr_tl=es&amp;_x_tr_hl=es&amp;_x_tr_pto=tc" TargetMode="External"/><Relationship Id="rId9" Type="http://schemas.openxmlformats.org/officeDocument/2006/relationships/hyperlink" Target="https://es.wikipedia.org/wiki/Motores" TargetMode="External"/><Relationship Id="rId14" Type="http://schemas.openxmlformats.org/officeDocument/2006/relationships/hyperlink" Target="https://es.wikipedia.org/wiki/Contaminaci%C3%B3n_atmosf%C3%A9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2025-07-07T18:10:00Z</dcterms:created>
  <dcterms:modified xsi:type="dcterms:W3CDTF">2025-07-07T18:37:00Z</dcterms:modified>
</cp:coreProperties>
</file>